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Правила оформления и подачи тезисов доклада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27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Подача тезисов осуществляется через личный кабинет после прохождения процедуры регистрации. Тезисы, направленные по электронной почте или оформленные не по шаблону, рассматриваться не будут. </w:t>
      </w:r>
    </w:p>
    <w:p w:rsidR="00000000" w:rsidDel="00000000" w:rsidP="00000000" w:rsidRDefault="00000000" w:rsidRPr="00000000" w14:paraId="00000004">
      <w:pPr>
        <w:ind w:firstLine="27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Тезисы докладов должны быть подготовлены в соответствии с данной инструкцией. </w:t>
      </w:r>
    </w:p>
    <w:p w:rsidR="00000000" w:rsidDel="00000000" w:rsidP="00000000" w:rsidRDefault="00000000" w:rsidRPr="00000000" w14:paraId="00000005">
      <w:pPr>
        <w:ind w:firstLine="34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3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Файлы должны иметь формат </w:t>
      </w:r>
      <w:r w:rsidDel="00000000" w:rsidR="00000000" w:rsidRPr="00000000">
        <w:rPr>
          <w:b w:val="1"/>
          <w:sz w:val="28"/>
          <w:szCs w:val="28"/>
          <w:rtl w:val="0"/>
        </w:rPr>
        <w:t xml:space="preserve">.doc </w:t>
      </w:r>
      <w:r w:rsidDel="00000000" w:rsidR="00000000" w:rsidRPr="00000000">
        <w:rPr>
          <w:sz w:val="28"/>
          <w:szCs w:val="28"/>
          <w:rtl w:val="0"/>
        </w:rPr>
        <w:t xml:space="preserve">или</w:t>
      </w:r>
      <w:r w:rsidDel="00000000" w:rsidR="00000000" w:rsidRPr="00000000">
        <w:rPr>
          <w:b w:val="1"/>
          <w:sz w:val="28"/>
          <w:szCs w:val="28"/>
          <w:rtl w:val="0"/>
        </w:rPr>
        <w:t xml:space="preserve"> .docx</w:t>
      </w:r>
      <w:r w:rsidDel="00000000" w:rsidR="00000000" w:rsidRPr="00000000">
        <w:rPr>
          <w:sz w:val="28"/>
          <w:szCs w:val="28"/>
          <w:rtl w:val="0"/>
        </w:rPr>
        <w:t xml:space="preserve"> и не превышать в объеме 5 Мбайт каждый. Имя файла должно состоять из фамилии и инициалов докладчика на латинице (например: </w:t>
      </w:r>
      <w:r w:rsidDel="00000000" w:rsidR="00000000" w:rsidRPr="00000000">
        <w:rPr>
          <w:b w:val="1"/>
          <w:sz w:val="28"/>
          <w:szCs w:val="28"/>
          <w:rtl w:val="0"/>
        </w:rPr>
        <w:t xml:space="preserve">Ivanov_AS</w:t>
      </w:r>
      <w:r w:rsidDel="00000000" w:rsidR="00000000" w:rsidRPr="00000000">
        <w:rPr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07">
      <w:pPr>
        <w:ind w:firstLine="3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Объем тезисов – не более одной страницы формата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A4 (210 x 297 мм)</w:t>
      </w:r>
      <w:r w:rsidDel="00000000" w:rsidR="00000000" w:rsidRPr="00000000">
        <w:rPr>
          <w:sz w:val="28"/>
          <w:szCs w:val="28"/>
          <w:rtl w:val="0"/>
        </w:rPr>
        <w:t xml:space="preserve">, включая выходную информацию и библиографию.</w:t>
      </w:r>
    </w:p>
    <w:p w:rsidR="00000000" w:rsidDel="00000000" w:rsidP="00000000" w:rsidRDefault="00000000" w:rsidRPr="00000000" w14:paraId="00000008">
      <w:pPr>
        <w:ind w:firstLine="3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Документ должен полностью соответствовать следующим требованиям: шрифт – Times New Roman, размер шрифта – 14 пт, межстрочный интервал одинарный, выравнивание по ширине, абзацный отступ 0,6 см, поля: верхнее – 3,0 см, нижнее – 2,0 см, левое и правое поля –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2,5 см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ind w:firstLine="34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Тезисы должны иметь следующую структуру: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36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название доклада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заглавными буквами полужирным шрифтом, выравнивание по центру страницы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через одну строку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–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фамилии </w:t>
      </w:r>
      <w:r w:rsidDel="00000000" w:rsidR="00000000" w:rsidRPr="00000000">
        <w:rPr>
          <w:b w:val="1"/>
          <w:sz w:val="28"/>
          <w:szCs w:val="28"/>
          <w:rtl w:val="0"/>
        </w:rPr>
        <w:t xml:space="preserve">и инициалы авторов</w:t>
      </w:r>
      <w:r w:rsidDel="00000000" w:rsidR="00000000" w:rsidRPr="00000000">
        <w:rPr>
          <w:sz w:val="28"/>
          <w:szCs w:val="28"/>
          <w:rtl w:val="0"/>
        </w:rPr>
        <w:t xml:space="preserve">, фамилия докладчика подчеркивается (полужирным шрифтом, выравнивание по центру страницы)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36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через одну строку – </w:t>
      </w:r>
      <w:r w:rsidDel="00000000" w:rsidR="00000000" w:rsidRPr="00000000">
        <w:rPr>
          <w:b w:val="1"/>
          <w:sz w:val="28"/>
          <w:szCs w:val="28"/>
          <w:rtl w:val="0"/>
        </w:rPr>
        <w:t xml:space="preserve">наименование организации</w:t>
      </w:r>
      <w:r w:rsidDel="00000000" w:rsidR="00000000" w:rsidRPr="00000000">
        <w:rPr>
          <w:sz w:val="28"/>
          <w:szCs w:val="28"/>
          <w:rtl w:val="0"/>
        </w:rPr>
        <w:t xml:space="preserve">, почтовый адрес и адрес электронной почты докладчика (курсивом, выравнивание по центру страницы)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;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через одну строку – </w:t>
      </w:r>
      <w:r w:rsidDel="00000000" w:rsidR="00000000" w:rsidRPr="00000000">
        <w:rPr>
          <w:b w:val="1"/>
          <w:sz w:val="28"/>
          <w:szCs w:val="28"/>
          <w:rtl w:val="0"/>
        </w:rPr>
        <w:t xml:space="preserve">текст тезисов</w:t>
      </w:r>
      <w:r w:rsidDel="00000000" w:rsidR="00000000" w:rsidRPr="00000000">
        <w:rPr>
          <w:sz w:val="28"/>
          <w:szCs w:val="28"/>
          <w:rtl w:val="0"/>
        </w:rPr>
        <w:t xml:space="preserve"> c включенными переносами, вставленными таблицами, графическими объектами и формулами (выравнивание по ширине страницы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через одну строку – слово «</w:t>
      </w:r>
      <w:r w:rsidDel="00000000" w:rsidR="00000000" w:rsidRPr="00000000">
        <w:rPr>
          <w:b w:val="1"/>
          <w:sz w:val="28"/>
          <w:szCs w:val="28"/>
          <w:rtl w:val="0"/>
        </w:rPr>
        <w:t xml:space="preserve">Литература</w:t>
      </w:r>
      <w:r w:rsidDel="00000000" w:rsidR="00000000" w:rsidRPr="00000000">
        <w:rPr>
          <w:sz w:val="28"/>
          <w:szCs w:val="28"/>
          <w:rtl w:val="0"/>
        </w:rPr>
        <w:t xml:space="preserve">», если имеются ссылки по тексту (полужирным шрифтом, курсивом, выравнивание по ширине страницы);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следующих строках приводится список использованной литературы (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размер шрифта 12 пт.</w:t>
      </w:r>
      <w:r w:rsidDel="00000000" w:rsidR="00000000" w:rsidRPr="00000000">
        <w:rPr>
          <w:sz w:val="28"/>
          <w:szCs w:val="28"/>
          <w:rtl w:val="0"/>
        </w:rPr>
        <w:t xml:space="preserve">, выравнивание по ширине страницы)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через одну строку – </w:t>
      </w:r>
      <w:r w:rsidDel="00000000" w:rsidR="00000000" w:rsidRPr="00000000">
        <w:rPr>
          <w:b w:val="1"/>
          <w:sz w:val="28"/>
          <w:szCs w:val="28"/>
          <w:rtl w:val="0"/>
        </w:rPr>
        <w:t xml:space="preserve">информация о грантах, программах и т.п.,</w:t>
      </w:r>
      <w:r w:rsidDel="00000000" w:rsidR="00000000" w:rsidRPr="00000000">
        <w:rPr>
          <w:sz w:val="28"/>
          <w:szCs w:val="28"/>
          <w:rtl w:val="0"/>
        </w:rPr>
        <w:t xml:space="preserve"> в рамках которых выполнена работа (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размер шрифта 12 пт.,</w:t>
      </w:r>
      <w:r w:rsidDel="00000000" w:rsidR="00000000" w:rsidRPr="00000000">
        <w:rPr>
          <w:sz w:val="28"/>
          <w:szCs w:val="28"/>
          <w:rtl w:val="0"/>
        </w:rPr>
        <w:t xml:space="preserve"> выравнивание по ширине страницы)</w:t>
      </w:r>
    </w:p>
    <w:p w:rsidR="00000000" w:rsidDel="00000000" w:rsidP="00000000" w:rsidRDefault="00000000" w:rsidRPr="00000000" w14:paraId="00000011">
      <w:pPr>
        <w:ind w:firstLine="34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34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Фотографии, графики, рисунки, химические формулы: </w:t>
      </w:r>
    </w:p>
    <w:p w:rsidR="00000000" w:rsidDel="00000000" w:rsidP="00000000" w:rsidRDefault="00000000" w:rsidRPr="00000000" w14:paraId="00000013">
      <w:pPr>
        <w:ind w:firstLine="34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Графические объекты приводятся вставкой в формате рисунка в черно-белом варианте. Рисунки располагаются по центру страницы. Подпись (если необходима) приводится под рисунком (размер шрифта – 12 пт., </w:t>
      </w:r>
      <w:r w:rsidDel="00000000" w:rsidR="00000000" w:rsidRPr="00000000">
        <w:rPr>
          <w:sz w:val="28"/>
          <w:szCs w:val="28"/>
          <w:rtl w:val="0"/>
        </w:rPr>
        <w:t xml:space="preserve">выравнивание по ширине страницы)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Размер химических символов должен быть не меньше шрифта 12 пт.</w:t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i w:val="1"/>
          <w:color w:val="000000"/>
          <w:sz w:val="28"/>
          <w:szCs w:val="28"/>
        </w:rPr>
        <w:drawing>
          <wp:inline distB="0" distT="0" distL="0" distR="0">
            <wp:extent cx="2170800" cy="1648800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0800" cy="164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Рисунок 1.</w:t>
      </w:r>
      <w:r w:rsidDel="00000000" w:rsidR="00000000" w:rsidRPr="00000000">
        <w:rPr>
          <w:rtl w:val="0"/>
        </w:rPr>
        <w:t xml:space="preserve"> Зависимость конверсии толуола и...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34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34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Таблицы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8">
      <w:pPr>
        <w:ind w:firstLine="34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Таблицы располагаются по центру страницы. Размер шрифта данных, представленных в таблицах, должен быть не менее 12 пт. Подпись, (если необходима) приводится над таблицей (размер шрифта – 12 пт., </w:t>
      </w:r>
      <w:r w:rsidDel="00000000" w:rsidR="00000000" w:rsidRPr="00000000">
        <w:rPr>
          <w:sz w:val="28"/>
          <w:szCs w:val="28"/>
          <w:rtl w:val="0"/>
        </w:rPr>
        <w:t xml:space="preserve">выравнивание по ширине страницы)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9">
      <w:pPr>
        <w:ind w:firstLine="34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Таблица 1.</w:t>
      </w:r>
      <w:r w:rsidDel="00000000" w:rsidR="00000000" w:rsidRPr="00000000">
        <w:rPr>
          <w:rtl w:val="0"/>
        </w:rPr>
        <w:t xml:space="preserve"> Свойства нового материала</w:t>
      </w:r>
    </w:p>
    <w:tbl>
      <w:tblPr>
        <w:tblStyle w:val="Table1"/>
        <w:tblW w:w="93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5"/>
        <w:gridCol w:w="1980"/>
        <w:gridCol w:w="2322"/>
        <w:gridCol w:w="2345"/>
        <w:tblGridChange w:id="0">
          <w:tblGrid>
            <w:gridCol w:w="2695"/>
            <w:gridCol w:w="1980"/>
            <w:gridCol w:w="2322"/>
            <w:gridCol w:w="234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Свойства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Номер образца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Образец №1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Образец №2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Образец №3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Прочность, МПа/см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Удлинение, см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2B">
      <w:pPr>
        <w:ind w:firstLine="34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34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Литература:</w:t>
      </w:r>
    </w:p>
    <w:p w:rsidR="00000000" w:rsidDel="00000000" w:rsidP="00000000" w:rsidRDefault="00000000" w:rsidRPr="00000000" w14:paraId="0000002D">
      <w:pPr>
        <w:ind w:firstLine="34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Ссылки на литературу приводятся по тексту в виде цифровых сносок (надстрочным текстом)</w:t>
      </w:r>
      <w:r w:rsidDel="00000000" w:rsidR="00000000" w:rsidRPr="00000000">
        <w:rPr>
          <w:color w:val="000000"/>
          <w:sz w:val="28"/>
          <w:szCs w:val="28"/>
          <w:vertAlign w:val="superscript"/>
          <w:rtl w:val="0"/>
        </w:rPr>
        <w:t xml:space="preserve">1,2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Использованная литература приводится нумерованным списком. Запрещается использование автоматического формирования списка и использование автоматических сносок.</w:t>
      </w:r>
    </w:p>
    <w:p w:rsidR="00000000" w:rsidDel="00000000" w:rsidP="00000000" w:rsidRDefault="00000000" w:rsidRPr="00000000" w14:paraId="0000002E">
      <w:pPr>
        <w:shd w:fill="ffffff" w:val="clear"/>
        <w:spacing w:line="276" w:lineRule="auto"/>
        <w:ind w:firstLine="34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ind w:firstLine="34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Оргкомитет оставляет за собой право отбора тезисов докладов в программу конференции. Тезисы, оформленные с нарушением указанных требований, рассматриваться не будут. Принятые тезисы публикуются в авторской редакции.</w:t>
      </w:r>
    </w:p>
    <w:p w:rsidR="00000000" w:rsidDel="00000000" w:rsidP="00000000" w:rsidRDefault="00000000" w:rsidRPr="00000000" w14:paraId="00000030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ПОЛУЧЕНИЕ НОВЫХ МАТЕРИАЛОВ</w:t>
      </w:r>
    </w:p>
    <w:p w:rsidR="00000000" w:rsidDel="00000000" w:rsidP="00000000" w:rsidRDefault="00000000" w:rsidRPr="00000000" w14:paraId="0000003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2806700</wp:posOffset>
                </wp:positionH>
                <wp:positionV relativeFrom="paragraph">
                  <wp:posOffset>-888999</wp:posOffset>
                </wp:positionV>
                <wp:extent cx="3009900" cy="3810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0100" y="360855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Пример оформления тезисов доклада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2806700</wp:posOffset>
                </wp:positionH>
                <wp:positionV relativeFrom="paragraph">
                  <wp:posOffset>-888999</wp:posOffset>
                </wp:positionV>
                <wp:extent cx="3009900" cy="381000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9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jc w:val="center"/>
        <w:rPr>
          <w:b w:val="1"/>
          <w:color w:val="000000"/>
          <w:sz w:val="28"/>
          <w:szCs w:val="28"/>
          <w:vertAlign w:val="superscript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Иванов И.И.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b w:val="1"/>
          <w:color w:val="000000"/>
          <w:sz w:val="28"/>
          <w:szCs w:val="28"/>
          <w:vertAlign w:val="superscript"/>
          <w:rtl w:val="0"/>
        </w:rPr>
        <w:t xml:space="preserve">а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Петров П.П.,</w:t>
      </w:r>
      <w:r w:rsidDel="00000000" w:rsidR="00000000" w:rsidRPr="00000000">
        <w:rPr>
          <w:b w:val="1"/>
          <w:color w:val="000000"/>
          <w:sz w:val="28"/>
          <w:szCs w:val="28"/>
          <w:vertAlign w:val="superscript"/>
          <w:rtl w:val="0"/>
        </w:rPr>
        <w:t xml:space="preserve">б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Сидоров С.С.</w:t>
      </w:r>
      <w:r w:rsidDel="00000000" w:rsidR="00000000" w:rsidRPr="00000000">
        <w:rPr>
          <w:b w:val="1"/>
          <w:color w:val="000000"/>
          <w:sz w:val="28"/>
          <w:szCs w:val="28"/>
          <w:vertAlign w:val="superscript"/>
          <w:rtl w:val="0"/>
        </w:rPr>
        <w:t xml:space="preserve">а</w:t>
      </w:r>
    </w:p>
    <w:p w:rsidR="00000000" w:rsidDel="00000000" w:rsidP="00000000" w:rsidRDefault="00000000" w:rsidRPr="00000000" w14:paraId="0000003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i w:val="1"/>
          <w:color w:val="000000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vertAlign w:val="superscript"/>
          <w:rtl w:val="0"/>
        </w:rPr>
        <w:t xml:space="preserve">а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Институт нефтехимического синтеза им. А.В. Топчиева Российской Академии Наук, 119991, Москва, Ленинский проспект 29,</w:t>
        <w:br w:type="textWrapping"/>
        <w:t xml:space="preserve">e-mail: ivanov@ips.ac.ru</w:t>
      </w:r>
    </w:p>
    <w:p w:rsidR="00000000" w:rsidDel="00000000" w:rsidP="00000000" w:rsidRDefault="00000000" w:rsidRPr="00000000" w14:paraId="00000035">
      <w:pPr>
        <w:jc w:val="center"/>
        <w:rPr>
          <w:i w:val="1"/>
          <w:color w:val="000000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vertAlign w:val="superscript"/>
          <w:rtl w:val="0"/>
        </w:rPr>
        <w:t xml:space="preserve">б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ООО НИИЦ «Синтез», 117571, Москва, проспект Вернадского, 86</w:t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34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Природный газ является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альтернативным нефти сырьевым ресурсом для получения синтетических топлив и ценных продуктов нефтехимического синтеза</w:t>
      </w:r>
      <w:r w:rsidDel="00000000" w:rsidR="00000000" w:rsidRPr="00000000">
        <w:rPr>
          <w:color w:val="000000"/>
          <w:sz w:val="28"/>
          <w:szCs w:val="28"/>
          <w:vertAlign w:val="superscript"/>
          <w:rtl w:val="0"/>
        </w:rPr>
        <w:t xml:space="preserve">1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34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</w:rPr>
        <w:drawing>
          <wp:inline distB="0" distT="0" distL="0" distR="0">
            <wp:extent cx="2486025" cy="990600"/>
            <wp:effectExtent b="0" l="0" r="0" t="0"/>
            <wp:docPr id="2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34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Синтез новых высокотермостойких полимеров (полиимидов, родственных им соединений, а также полимеров винилового ряда)</w:t>
      </w:r>
      <w:r w:rsidDel="00000000" w:rsidR="00000000" w:rsidRPr="00000000">
        <w:rPr>
          <w:color w:val="000000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способных к функционализации...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Рисунок 1.</w:t>
      </w:r>
      <w:r w:rsidDel="00000000" w:rsidR="00000000" w:rsidRPr="00000000">
        <w:rPr>
          <w:rtl w:val="0"/>
        </w:rPr>
        <w:t xml:space="preserve"> Зависимость конверсии толуола и...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1851025</wp:posOffset>
            </wp:positionH>
            <wp:positionV relativeFrom="paragraph">
              <wp:posOffset>122554</wp:posOffset>
            </wp:positionV>
            <wp:extent cx="2057400" cy="1562100"/>
            <wp:effectExtent b="0" l="0" r="0" t="0"/>
            <wp:wrapTopAndBottom distB="0" distT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62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Таблица 1.</w:t>
      </w:r>
      <w:r w:rsidDel="00000000" w:rsidR="00000000" w:rsidRPr="00000000">
        <w:rPr>
          <w:rtl w:val="0"/>
        </w:rPr>
        <w:t xml:space="preserve"> Свойства нового материала</w:t>
      </w:r>
    </w:p>
    <w:tbl>
      <w:tblPr>
        <w:tblStyle w:val="Table2"/>
        <w:tblW w:w="70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9"/>
        <w:gridCol w:w="1440"/>
        <w:gridCol w:w="1620"/>
        <w:gridCol w:w="1620"/>
        <w:tblGridChange w:id="0">
          <w:tblGrid>
            <w:gridCol w:w="2359"/>
            <w:gridCol w:w="1440"/>
            <w:gridCol w:w="1620"/>
            <w:gridCol w:w="162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Свойства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Номер обзазца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Образец №1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Образец №2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Образец №3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Прочность, МПа/см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Удлинение, см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Литература</w:t>
      </w:r>
    </w:p>
    <w:p w:rsidR="00000000" w:rsidDel="00000000" w:rsidP="00000000" w:rsidRDefault="00000000" w:rsidRPr="00000000" w14:paraId="0000004F">
      <w:pPr>
        <w:tabs>
          <w:tab w:val="left" w:leader="none" w:pos="0"/>
        </w:tabs>
        <w:jc w:val="both"/>
        <w:rPr/>
      </w:pPr>
      <w:r w:rsidDel="00000000" w:rsidR="00000000" w:rsidRPr="00000000">
        <w:rPr>
          <w:rtl w:val="0"/>
        </w:rPr>
        <w:t xml:space="preserve">1. Иванов И.И., Петров П.П. </w:t>
      </w:r>
      <w:r w:rsidDel="00000000" w:rsidR="00000000" w:rsidRPr="00000000">
        <w:rPr>
          <w:i w:val="1"/>
          <w:rtl w:val="0"/>
        </w:rPr>
        <w:t xml:space="preserve">Электрохимия</w:t>
      </w:r>
      <w:r w:rsidDel="00000000" w:rsidR="00000000" w:rsidRPr="00000000">
        <w:rPr>
          <w:rtl w:val="0"/>
        </w:rPr>
        <w:t xml:space="preserve">, 2006, </w:t>
      </w:r>
      <w:r w:rsidDel="00000000" w:rsidR="00000000" w:rsidRPr="00000000">
        <w:rPr>
          <w:b w:val="1"/>
          <w:rtl w:val="0"/>
        </w:rPr>
        <w:t xml:space="preserve">42</w:t>
      </w:r>
      <w:r w:rsidDel="00000000" w:rsidR="00000000" w:rsidRPr="00000000">
        <w:rPr>
          <w:rtl w:val="0"/>
        </w:rPr>
        <w:t xml:space="preserve">, 774.</w:t>
      </w:r>
    </w:p>
    <w:p w:rsidR="00000000" w:rsidDel="00000000" w:rsidP="00000000" w:rsidRDefault="00000000" w:rsidRPr="00000000" w14:paraId="00000050">
      <w:pPr>
        <w:tabs>
          <w:tab w:val="left" w:leader="none" w:pos="0"/>
        </w:tabs>
        <w:jc w:val="both"/>
        <w:rPr/>
      </w:pPr>
      <w:r w:rsidDel="00000000" w:rsidR="00000000" w:rsidRPr="00000000">
        <w:rPr>
          <w:rtl w:val="0"/>
        </w:rPr>
        <w:t xml:space="preserve">2. Petrov P.P., Sidorov S.S. </w:t>
      </w:r>
      <w:r w:rsidDel="00000000" w:rsidR="00000000" w:rsidRPr="00000000">
        <w:rPr>
          <w:i w:val="1"/>
          <w:rtl w:val="0"/>
        </w:rPr>
        <w:t xml:space="preserve">V-th International Congress on Chemistry</w:t>
      </w:r>
      <w:r w:rsidDel="00000000" w:rsidR="00000000" w:rsidRPr="00000000">
        <w:rPr>
          <w:rtl w:val="0"/>
        </w:rPr>
        <w:t xml:space="preserve">, 2010, London, 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  <w:t xml:space="preserve">, 545.</w:t>
      </w:r>
    </w:p>
    <w:p w:rsidR="00000000" w:rsidDel="00000000" w:rsidP="00000000" w:rsidRDefault="00000000" w:rsidRPr="00000000" w14:paraId="00000051">
      <w:pPr>
        <w:tabs>
          <w:tab w:val="left" w:leader="none" w:pos="0"/>
        </w:tabs>
        <w:jc w:val="both"/>
        <w:rPr/>
      </w:pPr>
      <w:r w:rsidDel="00000000" w:rsidR="00000000" w:rsidRPr="00000000">
        <w:rPr>
          <w:rtl w:val="0"/>
        </w:rPr>
        <w:t xml:space="preserve">3. Иванов И.И., Петров П.П., Сидоров С.С. </w:t>
      </w:r>
      <w:r w:rsidDel="00000000" w:rsidR="00000000" w:rsidRPr="00000000">
        <w:rPr>
          <w:i w:val="1"/>
          <w:rtl w:val="0"/>
        </w:rPr>
        <w:t xml:space="preserve">Патент 3333333 РФ</w:t>
      </w:r>
      <w:r w:rsidDel="00000000" w:rsidR="00000000" w:rsidRPr="00000000">
        <w:rPr>
          <w:rtl w:val="0"/>
        </w:rPr>
        <w:t xml:space="preserve">, 2005.</w:t>
      </w:r>
    </w:p>
    <w:p w:rsidR="00000000" w:rsidDel="00000000" w:rsidP="00000000" w:rsidRDefault="00000000" w:rsidRPr="00000000" w14:paraId="00000052">
      <w:pPr>
        <w:tabs>
          <w:tab w:val="left" w:leader="none" w:pos="0"/>
        </w:tabs>
        <w:jc w:val="both"/>
        <w:rPr/>
      </w:pPr>
      <w:r w:rsidDel="00000000" w:rsidR="00000000" w:rsidRPr="00000000">
        <w:rPr>
          <w:rtl w:val="0"/>
        </w:rPr>
        <w:t xml:space="preserve">4. Николаев А.Ф. Синтетические полимеры и пластические массы на их основе. – М.: Химия, 1966. – 768с.</w:t>
      </w:r>
    </w:p>
    <w:p w:rsidR="00000000" w:rsidDel="00000000" w:rsidP="00000000" w:rsidRDefault="00000000" w:rsidRPr="00000000" w14:paraId="00000053">
      <w:pPr>
        <w:tabs>
          <w:tab w:val="left" w:leader="none" w:pos="0"/>
        </w:tabs>
        <w:jc w:val="both"/>
        <w:rPr/>
      </w:pPr>
      <w:r w:rsidDel="00000000" w:rsidR="00000000" w:rsidRPr="00000000">
        <w:rPr>
          <w:rtl w:val="0"/>
        </w:rPr>
        <w:t xml:space="preserve">Работа выполнена при финансовой поддержке РНФ, проект 03-01-00001.</w:t>
      </w:r>
    </w:p>
    <w:sectPr>
      <w:headerReference r:id="rId10" w:type="default"/>
      <w:pgSz w:h="16838" w:w="11906" w:orient="portrait"/>
      <w:pgMar w:bottom="1134" w:top="170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780" w:hanging="360"/>
      </w:pPr>
      <w:rPr/>
    </w:lvl>
    <w:lvl w:ilvl="2">
      <w:start w:val="1"/>
      <w:numFmt w:val="lowerRoman"/>
      <w:lvlText w:val="%3."/>
      <w:lvlJc w:val="right"/>
      <w:pPr>
        <w:ind w:left="2500" w:hanging="180"/>
      </w:pPr>
      <w:rPr/>
    </w:lvl>
    <w:lvl w:ilvl="3">
      <w:start w:val="1"/>
      <w:numFmt w:val="decimal"/>
      <w:lvlText w:val="%4."/>
      <w:lvlJc w:val="left"/>
      <w:pPr>
        <w:ind w:left="3220" w:hanging="360"/>
      </w:pPr>
      <w:rPr/>
    </w:lvl>
    <w:lvl w:ilvl="4">
      <w:start w:val="1"/>
      <w:numFmt w:val="lowerLetter"/>
      <w:lvlText w:val="%5."/>
      <w:lvlJc w:val="left"/>
      <w:pPr>
        <w:ind w:left="3940" w:hanging="360"/>
      </w:pPr>
      <w:rPr/>
    </w:lvl>
    <w:lvl w:ilvl="5">
      <w:start w:val="1"/>
      <w:numFmt w:val="lowerRoman"/>
      <w:lvlText w:val="%6."/>
      <w:lvlJc w:val="right"/>
      <w:pPr>
        <w:ind w:left="4660" w:hanging="180"/>
      </w:pPr>
      <w:rPr/>
    </w:lvl>
    <w:lvl w:ilvl="6">
      <w:start w:val="1"/>
      <w:numFmt w:val="decimal"/>
      <w:lvlText w:val="%7."/>
      <w:lvlJc w:val="left"/>
      <w:pPr>
        <w:ind w:left="5380" w:hanging="360"/>
      </w:pPr>
      <w:rPr/>
    </w:lvl>
    <w:lvl w:ilvl="7">
      <w:start w:val="1"/>
      <w:numFmt w:val="lowerLetter"/>
      <w:lvlText w:val="%8."/>
      <w:lvlJc w:val="left"/>
      <w:pPr>
        <w:ind w:left="6100" w:hanging="360"/>
      </w:pPr>
      <w:rPr/>
    </w:lvl>
    <w:lvl w:ilvl="8">
      <w:start w:val="1"/>
      <w:numFmt w:val="lowerRoman"/>
      <w:lvlText w:val="%9."/>
      <w:lvlJc w:val="right"/>
      <w:pPr>
        <w:ind w:left="68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913C5"/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rsid w:val="00C268A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rsid w:val="001A2F7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2F77"/>
    <w:pPr>
      <w:tabs>
        <w:tab w:val="center" w:pos="4677"/>
        <w:tab w:val="right" w:pos="9355"/>
      </w:tabs>
    </w:pPr>
  </w:style>
  <w:style w:type="character" w:styleId="a6">
    <w:name w:val="Hyperlink"/>
    <w:basedOn w:val="a0"/>
    <w:uiPriority w:val="99"/>
    <w:unhideWhenUsed w:val="1"/>
    <w:rsid w:val="00A441EB"/>
    <w:rPr>
      <w:color w:val="0563c1" w:themeColor="hyperlink"/>
      <w:u w:val="single"/>
    </w:rPr>
  </w:style>
  <w:style w:type="paragraph" w:styleId="a7">
    <w:name w:val="Balloon Text"/>
    <w:basedOn w:val="a"/>
    <w:link w:val="a8"/>
    <w:rsid w:val="00EF1608"/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rsid w:val="00EF1608"/>
    <w:rPr>
      <w:rFonts w:ascii="Tahoma" w:cs="Tahoma" w:hAnsi="Tahoma"/>
      <w:sz w:val="16"/>
      <w:szCs w:val="16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EB0B6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0XRxqbyvAKYvx5rSleckpPGJbA==">CgMxLjA4AHIhMW9JeElJSWttODh5M0ZNdmJBWEc1dkdMalVERG1XVjFH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2019-02-13T08:06:00Z</dcterms:created>
  <dc:creator>himik</dc:creator>
</cp:coreProperties>
</file>